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64F5">
      <w:pPr>
        <w:pStyle w:val="printredaction-line"/>
        <w:divId w:val="565654668"/>
      </w:pPr>
      <w:r>
        <w:t>Редакция от 12 июля 2016</w:t>
      </w:r>
    </w:p>
    <w:p w:rsidR="00000000" w:rsidRDefault="009764F5">
      <w:pPr>
        <w:pStyle w:val="2"/>
        <w:divId w:val="565654668"/>
        <w:rPr>
          <w:rFonts w:eastAsia="Times New Roman"/>
        </w:rPr>
      </w:pPr>
      <w:r>
        <w:rPr>
          <w:rFonts w:eastAsia="Times New Roman"/>
        </w:rPr>
        <w:t>Как застраховать музейные предметы</w:t>
      </w:r>
    </w:p>
    <w:p w:rsidR="00000000" w:rsidRDefault="009764F5">
      <w:pPr>
        <w:pStyle w:val="a3"/>
        <w:divId w:val="594287789"/>
      </w:pPr>
      <w:r>
        <w:t>Страхование - это коммерческая процедура. Поэтому вопрос о возможности государственного страхования не подразумевает бесплатное страхование.</w:t>
      </w:r>
      <w:r>
        <w:t xml:space="preserve"> </w:t>
      </w:r>
    </w:p>
    <w:p w:rsidR="00000000" w:rsidRDefault="009764F5">
      <w:pPr>
        <w:pStyle w:val="2"/>
        <w:divId w:val="594287789"/>
        <w:rPr>
          <w:rFonts w:eastAsia="Times New Roman"/>
        </w:rPr>
      </w:pPr>
      <w:r>
        <w:rPr>
          <w:rFonts w:eastAsia="Times New Roman"/>
        </w:rPr>
        <w:t>Где следует страховать музейные предметы</w:t>
      </w:r>
      <w:r>
        <w:rPr>
          <w:rFonts w:eastAsia="Times New Roman"/>
        </w:rPr>
        <w:t xml:space="preserve"> </w:t>
      </w:r>
    </w:p>
    <w:p w:rsidR="00000000" w:rsidRDefault="009764F5">
      <w:pPr>
        <w:pStyle w:val="a3"/>
        <w:divId w:val="594287789"/>
      </w:pPr>
      <w:r>
        <w:t>Министерство культуры РФ рекомендует страховать музейные предметы, относящиеся к государственной части Музейного фонда РФ,</w:t>
      </w:r>
      <w:r>
        <w:t xml:space="preserve"> </w:t>
      </w:r>
      <w:hyperlink r:id="rId5" w:anchor="/document/99/420356035/XA00LVA2M9/" w:history="1">
        <w:r>
          <w:rPr>
            <w:rStyle w:val="a4"/>
          </w:rPr>
          <w:t>в российских страховых компаниях</w:t>
        </w:r>
      </w:hyperlink>
      <w:r>
        <w:t xml:space="preserve"> – т. е. страховых ком</w:t>
      </w:r>
      <w:r>
        <w:t>паниях, которые зарегистрированы в России и работают на российском рынке.</w:t>
      </w:r>
      <w:r>
        <w:t xml:space="preserve"> </w:t>
      </w:r>
    </w:p>
    <w:p w:rsidR="00000000" w:rsidRDefault="009764F5">
      <w:pPr>
        <w:pStyle w:val="a3"/>
        <w:divId w:val="594287789"/>
      </w:pPr>
      <w:r>
        <w:t>Запрещается страховать музейные предметы в иностранных страховых компаниях или их представительствах. Также нельзя страховать музейные предметы у российских и иностранных брокеров</w:t>
      </w:r>
      <w:r>
        <w:t>.</w:t>
      </w:r>
    </w:p>
    <w:p w:rsidR="00000000" w:rsidRDefault="009764F5">
      <w:pPr>
        <w:pStyle w:val="a3"/>
        <w:divId w:val="594287789"/>
      </w:pPr>
      <w:r>
        <w:t>Поясним, какие страховые компании могут удовлетворять этим условиям. Согласно</w:t>
      </w:r>
      <w:r>
        <w:t xml:space="preserve"> </w:t>
      </w:r>
      <w:hyperlink r:id="rId6" w:anchor="/document/99/9003385/XA00M7U2MN/" w:history="1">
        <w:r>
          <w:rPr>
            <w:rStyle w:val="a4"/>
          </w:rPr>
          <w:t>ст. 6</w:t>
        </w:r>
      </w:hyperlink>
      <w:r>
        <w:t xml:space="preserve"> Закона РФ от 27 ноября 1992 г. № 4015-1, страховые организации, являющиеся дочерними обществами п</w:t>
      </w:r>
      <w:r>
        <w:t>о отношению к иностранным инвесторам либо имеющие долю иностранных инвесторов в своем уставном капитале более 49%, не могут осуществлять в РФ страхование, связанное с осуществлением закупок товаров, работ и услуг, а также страхование имущественных интересо</w:t>
      </w:r>
      <w:r>
        <w:t>в государственных и муниципальных организаций, то есть в том числе и страхование культурных ценностей.</w:t>
      </w:r>
      <w:r>
        <w:t xml:space="preserve"> </w:t>
      </w:r>
    </w:p>
    <w:p w:rsidR="00000000" w:rsidRDefault="009764F5">
      <w:pPr>
        <w:pStyle w:val="a3"/>
        <w:divId w:val="594287789"/>
      </w:pPr>
      <w:r>
        <w:t>В исключительных случаях, например, когда российский музей направляет на международную выставку единичные экспонаты либо принимающая сторона предоставля</w:t>
      </w:r>
      <w:r>
        <w:t>ет государственные гарантии финансовой ответственности (институт Индемнити) с</w:t>
      </w:r>
      <w:r>
        <w:t xml:space="preserve"> </w:t>
      </w:r>
      <w:hyperlink r:id="rId7" w:anchor="/document/16/15809/me23/" w:tooltip="Виды и типы страхования музейных предметов" w:history="1">
        <w:r>
          <w:rPr>
            <w:rStyle w:val="a4"/>
          </w:rPr>
          <w:t>максимальным страховым покрытием</w:t>
        </w:r>
      </w:hyperlink>
      <w:r>
        <w:t xml:space="preserve"> , Минкультуры РФ может принять</w:t>
      </w:r>
      <w:r>
        <w:t xml:space="preserve"> решение о страховании этих экспонатов в иностранной страховой компании или через институт Индемнити.</w:t>
      </w:r>
      <w:r>
        <w:t xml:space="preserve"> </w:t>
      </w:r>
    </w:p>
    <w:p w:rsidR="00000000" w:rsidRDefault="009764F5">
      <w:pPr>
        <w:divId w:val="561521368"/>
        <w:rPr>
          <w:rFonts w:eastAsia="Times New Roman"/>
        </w:rPr>
      </w:pPr>
      <w:proofErr w:type="gramStart"/>
      <w:r>
        <w:rPr>
          <w:rStyle w:val="incut-head-control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 страховую</w:t>
      </w:r>
      <w:proofErr w:type="gramEnd"/>
      <w:r>
        <w:rPr>
          <w:rStyle w:val="incut-head-sub"/>
          <w:rFonts w:eastAsia="Times New Roman"/>
        </w:rPr>
        <w:t xml:space="preserve"> компанию вы определяете по результатам</w:t>
      </w:r>
      <w:r>
        <w:rPr>
          <w:rStyle w:val="incut-head-sub"/>
          <w:rFonts w:eastAsia="Times New Roman"/>
        </w:rPr>
        <w:t xml:space="preserve"> </w:t>
      </w:r>
      <w:hyperlink r:id="rId8" w:anchor="/document/99/499011838/XA00RQ22P4/" w:history="1">
        <w:r>
          <w:rPr>
            <w:rStyle w:val="a4"/>
            <w:rFonts w:eastAsia="Times New Roman"/>
          </w:rPr>
          <w:t>закрытого конкур</w:t>
        </w:r>
        <w:r>
          <w:rPr>
            <w:rStyle w:val="a4"/>
            <w:rFonts w:eastAsia="Times New Roman"/>
          </w:rPr>
          <w:t>са</w:t>
        </w:r>
      </w:hyperlink>
      <w:r>
        <w:rPr>
          <w:rStyle w:val="incut-head-sub"/>
          <w:rFonts w:eastAsia="Times New Roman"/>
        </w:rPr>
        <w:t xml:space="preserve"> . Это означает, что информацию о закупке вы направляете ограниченному кругу лиц, которые удовлетворяют вашим требованиям как заказчика.</w:t>
      </w:r>
    </w:p>
    <w:p w:rsidR="00000000" w:rsidRDefault="009764F5">
      <w:pPr>
        <w:pStyle w:val="a3"/>
        <w:divId w:val="1266838853"/>
      </w:pPr>
      <w:r>
        <w:t>У страховой компании обязательно должны быть утверждены Правила страхования культурных ценностей.</w:t>
      </w:r>
      <w:r>
        <w:t xml:space="preserve"> </w:t>
      </w:r>
    </w:p>
    <w:p w:rsidR="00000000" w:rsidRDefault="009764F5">
      <w:pPr>
        <w:pStyle w:val="a3"/>
        <w:divId w:val="1266838853"/>
      </w:pPr>
      <w:r>
        <w:t>Удостоверьтесь в н</w:t>
      </w:r>
      <w:r>
        <w:t>аличии Правил у страховщика. Если их нет, страховая компания не может быть допущена к страхованию музейных предметов, относящихся к Музейному фонду РФ.</w:t>
      </w:r>
      <w:r>
        <w:t xml:space="preserve"> </w:t>
      </w:r>
    </w:p>
    <w:p w:rsidR="00000000" w:rsidRDefault="009764F5">
      <w:pPr>
        <w:pStyle w:val="a3"/>
        <w:divId w:val="1266838853"/>
      </w:pPr>
      <w:r>
        <w:t>Хорошо, если все участвующие страховщики имеют высокий рейтинг, длительный опыт работы на рынке страхов</w:t>
      </w:r>
      <w:r>
        <w:t>ания рисков Fine Arts и страховые резервы, достаточные для покрытия рисков в заявленном вами объеме</w:t>
      </w:r>
      <w:r>
        <w:t>.</w:t>
      </w:r>
    </w:p>
    <w:p w:rsidR="00000000" w:rsidRDefault="009764F5">
      <w:pPr>
        <w:pStyle w:val="2"/>
        <w:divId w:val="594287789"/>
        <w:rPr>
          <w:rFonts w:eastAsia="Times New Roman"/>
        </w:rPr>
      </w:pPr>
      <w:r>
        <w:rPr>
          <w:rFonts w:eastAsia="Times New Roman"/>
        </w:rPr>
        <w:t>От каких рисков следует страховать музейные предмет</w:t>
      </w:r>
      <w:r>
        <w:rPr>
          <w:rFonts w:eastAsia="Times New Roman"/>
        </w:rPr>
        <w:t>ы</w:t>
      </w:r>
    </w:p>
    <w:p w:rsidR="00000000" w:rsidRDefault="009764F5">
      <w:pPr>
        <w:pStyle w:val="a3"/>
        <w:divId w:val="594287789"/>
      </w:pPr>
      <w:r>
        <w:t>Страховать музейные предметы, относящиеся к Музейному фонду РФ, нужно по принципу "От гвоздя до гвоздя</w:t>
      </w:r>
      <w:r>
        <w:t>" на условиях "От всех рисков" (All risks). Это означает, что страховой случай наступит при повреждении предмета по любой причине.</w:t>
      </w:r>
      <w:r>
        <w:t xml:space="preserve"> </w:t>
      </w:r>
    </w:p>
    <w:p w:rsidR="00000000" w:rsidRDefault="009764F5">
      <w:pPr>
        <w:pStyle w:val="a3"/>
        <w:divId w:val="594287789"/>
      </w:pPr>
      <w:r>
        <w:t>Обратите внимание на периоды страхования. Страховое покрытие обязательно должно включать</w:t>
      </w:r>
      <w:r>
        <w:t>:</w:t>
      </w:r>
    </w:p>
    <w:p w:rsidR="00000000" w:rsidRDefault="009764F5">
      <w:pPr>
        <w:numPr>
          <w:ilvl w:val="0"/>
          <w:numId w:val="1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>период упаковки-распаковки;</w:t>
      </w:r>
    </w:p>
    <w:p w:rsidR="00000000" w:rsidRDefault="009764F5">
      <w:pPr>
        <w:numPr>
          <w:ilvl w:val="0"/>
          <w:numId w:val="1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>времен</w:t>
      </w:r>
      <w:r>
        <w:rPr>
          <w:rFonts w:eastAsia="Times New Roman"/>
        </w:rPr>
        <w:t xml:space="preserve">ного хранения (без доступа посетителей); </w:t>
      </w:r>
    </w:p>
    <w:p w:rsidR="00000000" w:rsidRDefault="009764F5">
      <w:pPr>
        <w:numPr>
          <w:ilvl w:val="0"/>
          <w:numId w:val="1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 xml:space="preserve">транспортировки по всему маршруту следования; </w:t>
      </w:r>
    </w:p>
    <w:p w:rsidR="00000000" w:rsidRDefault="009764F5">
      <w:pPr>
        <w:numPr>
          <w:ilvl w:val="0"/>
          <w:numId w:val="1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 xml:space="preserve">монтажа-демонтажа. </w:t>
      </w:r>
    </w:p>
    <w:p w:rsidR="00000000" w:rsidRDefault="009764F5">
      <w:pPr>
        <w:pStyle w:val="a3"/>
        <w:divId w:val="594287789"/>
      </w:pPr>
      <w:r>
        <w:t>Вы также можете согласовать со страховой компанией, чтобы в объем страхования входил период экспонирования музейных предметов</w:t>
      </w:r>
      <w:r>
        <w:t>.</w:t>
      </w:r>
    </w:p>
    <w:p w:rsidR="00000000" w:rsidRDefault="009764F5">
      <w:pPr>
        <w:pStyle w:val="a3"/>
        <w:divId w:val="594287789"/>
      </w:pPr>
      <w:r>
        <w:t>Оригинальный полис с</w:t>
      </w:r>
      <w:r>
        <w:t>трахования "От всех рисков" включает следующие условия</w:t>
      </w:r>
      <w:r>
        <w:t>:</w:t>
      </w:r>
    </w:p>
    <w:p w:rsidR="00000000" w:rsidRDefault="009764F5">
      <w:pPr>
        <w:numPr>
          <w:ilvl w:val="0"/>
          <w:numId w:val="2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>покрытие военных рисков в соответствии;</w:t>
      </w:r>
    </w:p>
    <w:p w:rsidR="00000000" w:rsidRDefault="009764F5">
      <w:pPr>
        <w:numPr>
          <w:ilvl w:val="0"/>
          <w:numId w:val="2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>забастовочных рисков;</w:t>
      </w:r>
    </w:p>
    <w:p w:rsidR="00000000" w:rsidRDefault="009764F5">
      <w:pPr>
        <w:numPr>
          <w:ilvl w:val="0"/>
          <w:numId w:val="2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>рисков терроризма в период транспортировки;</w:t>
      </w:r>
    </w:p>
    <w:p w:rsidR="00000000" w:rsidRDefault="009764F5">
      <w:pPr>
        <w:numPr>
          <w:ilvl w:val="0"/>
          <w:numId w:val="2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>рисков землетрясения, наводнения или вулканического извержения;</w:t>
      </w:r>
    </w:p>
    <w:p w:rsidR="00000000" w:rsidRDefault="009764F5">
      <w:pPr>
        <w:numPr>
          <w:ilvl w:val="0"/>
          <w:numId w:val="2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>рисков гибели или повреждения, не подтвержденного документально ("таинственного исчезновения");</w:t>
      </w:r>
    </w:p>
    <w:p w:rsidR="00000000" w:rsidRDefault="009764F5">
      <w:pPr>
        <w:numPr>
          <w:ilvl w:val="0"/>
          <w:numId w:val="2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>вандализма, кражи;</w:t>
      </w:r>
    </w:p>
    <w:p w:rsidR="00000000" w:rsidRDefault="009764F5">
      <w:pPr>
        <w:numPr>
          <w:ilvl w:val="0"/>
          <w:numId w:val="2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>отказа от ответственности организаторов выставок, их сотрудников, упаковщиков, перевозчиков.</w:t>
      </w:r>
    </w:p>
    <w:p w:rsidR="00000000" w:rsidRDefault="009764F5">
      <w:pPr>
        <w:pStyle w:val="a3"/>
        <w:divId w:val="594287789"/>
      </w:pPr>
      <w:r>
        <w:t>Эти условия соответствуют международной практике</w:t>
      </w:r>
      <w:r>
        <w:t xml:space="preserve"> страхования культурных ценностей. Вы можете согласовать со страховщиком</w:t>
      </w:r>
      <w:r>
        <w:t xml:space="preserve"> </w:t>
      </w:r>
      <w:r>
        <w:rPr>
          <w:rStyle w:val="doc"/>
        </w:rPr>
        <w:t xml:space="preserve">дополнительные условия страхования музейных </w:t>
      </w:r>
      <w:proofErr w:type="gramStart"/>
      <w:r>
        <w:rPr>
          <w:rStyle w:val="doc"/>
        </w:rPr>
        <w:t>предмето</w:t>
      </w:r>
      <w:r>
        <w:rPr>
          <w:rStyle w:val="doc"/>
        </w:rPr>
        <w:t>в</w:t>
      </w:r>
      <w:r>
        <w:t xml:space="preserve"> </w:t>
      </w:r>
      <w:r>
        <w:t>.</w:t>
      </w:r>
      <w:proofErr w:type="gramEnd"/>
    </w:p>
    <w:p w:rsidR="00000000" w:rsidRDefault="009764F5">
      <w:pPr>
        <w:pStyle w:val="a3"/>
        <w:divId w:val="594287789"/>
      </w:pPr>
      <w:r>
        <w:t xml:space="preserve">Однако страховое покрытие может не </w:t>
      </w:r>
      <w:proofErr w:type="gramStart"/>
      <w:r>
        <w:t xml:space="preserve">распространяться </w:t>
      </w:r>
      <w:r>
        <w:t>:</w:t>
      </w:r>
      <w:proofErr w:type="gramEnd"/>
    </w:p>
    <w:p w:rsidR="00000000" w:rsidRDefault="009764F5">
      <w:pPr>
        <w:numPr>
          <w:ilvl w:val="0"/>
          <w:numId w:val="3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>на кибератаки;</w:t>
      </w:r>
    </w:p>
    <w:p w:rsidR="00000000" w:rsidRDefault="009764F5">
      <w:pPr>
        <w:numPr>
          <w:ilvl w:val="0"/>
          <w:numId w:val="3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>радиоактивное загрязнение;</w:t>
      </w:r>
    </w:p>
    <w:p w:rsidR="00000000" w:rsidRDefault="009764F5">
      <w:pPr>
        <w:numPr>
          <w:ilvl w:val="0"/>
          <w:numId w:val="3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>применения химического, биологи</w:t>
      </w:r>
      <w:r>
        <w:rPr>
          <w:rFonts w:eastAsia="Times New Roman"/>
        </w:rPr>
        <w:t>ческого, биохимического, электромагнитного оружия;</w:t>
      </w:r>
    </w:p>
    <w:p w:rsidR="00000000" w:rsidRDefault="009764F5">
      <w:pPr>
        <w:numPr>
          <w:ilvl w:val="0"/>
          <w:numId w:val="3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>естественный износ;</w:t>
      </w:r>
    </w:p>
    <w:p w:rsidR="00000000" w:rsidRDefault="009764F5">
      <w:pPr>
        <w:numPr>
          <w:ilvl w:val="0"/>
          <w:numId w:val="3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>если выявлены внутренние скрытые дефекты;</w:t>
      </w:r>
    </w:p>
    <w:p w:rsidR="00000000" w:rsidRDefault="009764F5">
      <w:pPr>
        <w:numPr>
          <w:ilvl w:val="0"/>
          <w:numId w:val="3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>повреждения или гибель в ходе реставрации, восстановления или ретуширования;</w:t>
      </w:r>
    </w:p>
    <w:p w:rsidR="00000000" w:rsidRDefault="009764F5">
      <w:pPr>
        <w:numPr>
          <w:ilvl w:val="0"/>
          <w:numId w:val="3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>конфискации;</w:t>
      </w:r>
    </w:p>
    <w:p w:rsidR="00000000" w:rsidRDefault="009764F5">
      <w:pPr>
        <w:numPr>
          <w:ilvl w:val="0"/>
          <w:numId w:val="3"/>
        </w:numPr>
        <w:spacing w:after="103"/>
        <w:ind w:left="686"/>
        <w:divId w:val="594287789"/>
        <w:rPr>
          <w:rFonts w:eastAsia="Times New Roman"/>
        </w:rPr>
      </w:pPr>
      <w:r>
        <w:rPr>
          <w:rFonts w:eastAsia="Times New Roman"/>
        </w:rPr>
        <w:t xml:space="preserve">претензии со стороны третьих лиц, оспаривающих право </w:t>
      </w:r>
      <w:r>
        <w:rPr>
          <w:rFonts w:eastAsia="Times New Roman"/>
        </w:rPr>
        <w:t>собственности на данные музейные предметы.</w:t>
      </w:r>
    </w:p>
    <w:p w:rsidR="00000000" w:rsidRDefault="009764F5">
      <w:pPr>
        <w:divId w:val="1062023587"/>
        <w:rPr>
          <w:rFonts w:eastAsia="Times New Roman"/>
        </w:rPr>
      </w:pPr>
      <w:proofErr w:type="gramStart"/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 установление</w:t>
      </w:r>
      <w:proofErr w:type="gramEnd"/>
      <w:r>
        <w:rPr>
          <w:rStyle w:val="incut-head-sub"/>
          <w:rFonts w:eastAsia="Times New Roman"/>
        </w:rPr>
        <w:t xml:space="preserve"> франшизы при страховании культурных ценностей недопустимо. </w:t>
      </w:r>
    </w:p>
    <w:p w:rsidR="00000000" w:rsidRDefault="009764F5">
      <w:pPr>
        <w:pStyle w:val="2"/>
        <w:divId w:val="594287789"/>
        <w:rPr>
          <w:rFonts w:eastAsia="Times New Roman"/>
        </w:rPr>
      </w:pPr>
      <w:r>
        <w:rPr>
          <w:rFonts w:eastAsia="Times New Roman"/>
        </w:rPr>
        <w:t>Как должна быть обеспечена страховая защита музейных предмето</w:t>
      </w:r>
      <w:r>
        <w:rPr>
          <w:rFonts w:eastAsia="Times New Roman"/>
        </w:rPr>
        <w:t>в</w:t>
      </w:r>
    </w:p>
    <w:p w:rsidR="00000000" w:rsidRDefault="009764F5">
      <w:pPr>
        <w:pStyle w:val="a3"/>
        <w:divId w:val="594287789"/>
      </w:pPr>
      <w:r>
        <w:t>Степень обеспечения страховой защиты зависит от суммы оценки музей</w:t>
      </w:r>
      <w:r>
        <w:t>ных предметов</w:t>
      </w:r>
      <w:r>
        <w:t>.</w:t>
      </w:r>
    </w:p>
    <w:p w:rsidR="00000000" w:rsidRDefault="009764F5">
      <w:pPr>
        <w:pStyle w:val="a3"/>
        <w:divId w:val="594287789"/>
      </w:pPr>
      <w:r>
        <w:t>Если страховая сумма музейных предметов не превышает 1 млн. долларов США, все страховые риски покрывает страховая компания, с которой вы заключили договор</w:t>
      </w:r>
      <w:r>
        <w:t>.</w:t>
      </w:r>
    </w:p>
    <w:p w:rsidR="00000000" w:rsidRDefault="009764F5">
      <w:pPr>
        <w:pStyle w:val="a3"/>
        <w:divId w:val="594287789"/>
      </w:pPr>
      <w:r>
        <w:t>Если страховая сумма составит от 1 млн. до 10 млн. долларов США, ваша страховая компа</w:t>
      </w:r>
      <w:r>
        <w:t>ния может заключить договор с перестраховщиком, который возьмет на себя частично или полностью ответственность по договору страхования. Такой договор будет называться облигаторным договором</w:t>
      </w:r>
      <w:r>
        <w:t>.</w:t>
      </w:r>
    </w:p>
    <w:p w:rsidR="00000000" w:rsidRDefault="009764F5">
      <w:pPr>
        <w:pStyle w:val="a3"/>
        <w:divId w:val="594287789"/>
      </w:pPr>
      <w:r>
        <w:t>Если страховая сумма превысит 10 млн. долларов США, ваша страхова</w:t>
      </w:r>
      <w:r>
        <w:t xml:space="preserve">я компания обязана обеспечить пропорциональное перестрахование в ведущих мировых страховых компаниях, специализирующихся на страховании музейных предметов или синдикатах Ллойда. При этом она сама должна обеспечить покрытие не более 10% риска, или не более </w:t>
      </w:r>
      <w:r>
        <w:t>10 млн. долларов США</w:t>
      </w:r>
      <w:r>
        <w:t>.</w:t>
      </w:r>
    </w:p>
    <w:p w:rsidR="00000000" w:rsidRDefault="009764F5">
      <w:pPr>
        <w:pStyle w:val="a3"/>
        <w:divId w:val="594287789"/>
      </w:pPr>
      <w:r>
        <w:t>При этом ваша страховая компания не может обеспечивать страховое покрытие за счет перестраховщика, либо заключить договор на условиях непропорционального перестрахования</w:t>
      </w:r>
      <w:r>
        <w:t>.</w:t>
      </w:r>
    </w:p>
    <w:p w:rsidR="00000000" w:rsidRDefault="009764F5">
      <w:pPr>
        <w:pStyle w:val="a3"/>
        <w:divId w:val="594287789"/>
      </w:pPr>
      <w:r>
        <w:t>Факт перестрахования она должна подтвердить документально. Тако</w:t>
      </w:r>
      <w:r>
        <w:t xml:space="preserve">й документ называется ковер-нотой. Ковер-нота содержит условия перестрахования, исключающие оговорки, состав участников страховой защиты. Состав перестраховщиков содержится в секьюрити - листе. Там же должны быть указаны рейтинги перестраховщиков по шкале </w:t>
      </w:r>
      <w:r>
        <w:t>международных рейтинговых агентств с указанием процента от общей суммы страховой оценки, который данный перестраховщик будет готов покрыть при наступлении страхового случая.</w:t>
      </w:r>
      <w:r>
        <w:t xml:space="preserve"> </w:t>
      </w:r>
    </w:p>
    <w:p w:rsidR="00000000" w:rsidRDefault="009764F5">
      <w:pPr>
        <w:pStyle w:val="a3"/>
        <w:divId w:val="594287789"/>
      </w:pPr>
      <w:r>
        <w:t>Информация ковер-ноты является конфиденциальной, но должна быть вам доступна</w:t>
      </w:r>
      <w:r>
        <w:t>.</w:t>
      </w:r>
    </w:p>
    <w:p w:rsidR="00000000" w:rsidRDefault="009764F5">
      <w:pPr>
        <w:pStyle w:val="2"/>
        <w:divId w:val="594287789"/>
        <w:rPr>
          <w:rFonts w:eastAsia="Times New Roman"/>
        </w:rPr>
      </w:pPr>
      <w:r>
        <w:rPr>
          <w:rFonts w:eastAsia="Times New Roman"/>
        </w:rPr>
        <w:t>Что</w:t>
      </w:r>
      <w:r>
        <w:rPr>
          <w:rFonts w:eastAsia="Times New Roman"/>
        </w:rPr>
        <w:t xml:space="preserve"> делать, если страховой случай наступи</w:t>
      </w:r>
      <w:r>
        <w:rPr>
          <w:rFonts w:eastAsia="Times New Roman"/>
        </w:rPr>
        <w:t>л</w:t>
      </w:r>
    </w:p>
    <w:p w:rsidR="00000000" w:rsidRDefault="009764F5">
      <w:pPr>
        <w:pStyle w:val="a3"/>
        <w:divId w:val="594287789"/>
      </w:pPr>
      <w:r>
        <w:t>О наступлении страхового случая вам должна сообщить сторона, принимающая предметы. Принимающая организация также оповещает Минкультуры РФ или орган управления культурой субъекта РФ</w:t>
      </w:r>
      <w:r>
        <w:t>.</w:t>
      </w:r>
    </w:p>
    <w:p w:rsidR="00000000" w:rsidRDefault="009764F5">
      <w:pPr>
        <w:pStyle w:val="a3"/>
        <w:divId w:val="594287789"/>
      </w:pPr>
      <w:r>
        <w:t>Далее вы обязаны уведомить о случи</w:t>
      </w:r>
      <w:r>
        <w:t xml:space="preserve">вшемся страховую компанию. Порядок и сроки подачи заявления о произошедшем страховом событии указаны в страховом полисе. </w:t>
      </w:r>
      <w:proofErr w:type="gramStart"/>
      <w:r>
        <w:t>Со своей стороны</w:t>
      </w:r>
      <w:proofErr w:type="gramEnd"/>
      <w:r>
        <w:t xml:space="preserve"> вы также уведомляете о наступлении страхового случая Минкультуры РФ или орган управления культурой субъекта РФ.</w:t>
      </w:r>
      <w:r>
        <w:t xml:space="preserve"> </w:t>
      </w:r>
    </w:p>
    <w:p w:rsidR="00000000" w:rsidRDefault="009764F5">
      <w:pPr>
        <w:pStyle w:val="a3"/>
        <w:divId w:val="594287789"/>
      </w:pPr>
      <w:r>
        <w:t>Все д</w:t>
      </w:r>
      <w:r>
        <w:t>альнейшие инструкции вы должны получить от страховой компании</w:t>
      </w:r>
      <w:r>
        <w:t>.</w:t>
      </w:r>
    </w:p>
    <w:p w:rsidR="00000000" w:rsidRDefault="009764F5">
      <w:pPr>
        <w:divId w:val="1535770630"/>
        <w:rPr>
          <w:rFonts w:eastAsia="Times New Roman"/>
        </w:rPr>
      </w:pPr>
      <w:r>
        <w:rPr>
          <w:rStyle w:val="incut-head-control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принимающая сторона не должна проводить реставрацию, а все принимаемые профилактические меры она должна согласовать с вами</w:t>
      </w:r>
    </w:p>
    <w:p w:rsidR="00000000" w:rsidRDefault="009764F5">
      <w:pPr>
        <w:pStyle w:val="a3"/>
        <w:divId w:val="7759253"/>
      </w:pPr>
      <w:r>
        <w:t>Степень и размер ущерба, ответственность сторон, процедура выплаты страховой компенсации должны быть установлены исключительно представителем страховой компании при вашем участии представителя принимающей стороны, а в отдельных случаях - представителей Мин</w:t>
      </w:r>
      <w:r>
        <w:t>истерства культуры РФ или органов управления культурой субъектов РФ.</w:t>
      </w:r>
      <w:r>
        <w:t xml:space="preserve"> </w:t>
      </w:r>
    </w:p>
    <w:p w:rsidR="009764F5" w:rsidRDefault="009764F5">
      <w:pPr>
        <w:pStyle w:val="a3"/>
        <w:divId w:val="594287789"/>
      </w:pPr>
      <w:r>
        <w:t>Все связанные с оформлением страхования музейных предметов документы и материалы должны быть представлены в Министерство культуры РФ или органы управления культурой субъектов РФ не поздн</w:t>
      </w:r>
      <w:r>
        <w:t>ее, чем за 30 дней до предполагаемой выдачи музейных предметов владельцу на территории РФ и 60 дней за рубеж.</w:t>
      </w:r>
      <w:r>
        <w:t xml:space="preserve"> </w:t>
      </w:r>
      <w:bookmarkStart w:id="0" w:name="_GoBack"/>
      <w:bookmarkEnd w:id="0"/>
    </w:p>
    <w:sectPr w:rsidR="0097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FC6"/>
    <w:multiLevelType w:val="multilevel"/>
    <w:tmpl w:val="BC0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15B2C"/>
    <w:multiLevelType w:val="multilevel"/>
    <w:tmpl w:val="C422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32D26"/>
    <w:multiLevelType w:val="multilevel"/>
    <w:tmpl w:val="A2EA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701C8"/>
    <w:rsid w:val="009764F5"/>
    <w:rsid w:val="00A701C8"/>
    <w:rsid w:val="00D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4526D-BBC2-43D7-AC63-A546FC28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incut-head-sub">
    <w:name w:val="incut-head-sub"/>
    <w:basedOn w:val="a0"/>
  </w:style>
  <w:style w:type="character" w:customStyle="1" w:styleId="incut-button">
    <w:name w:val="incut-button"/>
    <w:basedOn w:val="a0"/>
  </w:style>
  <w:style w:type="character" w:customStyle="1" w:styleId="doc">
    <w:name w:val="doc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5466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778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31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895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7376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44685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c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c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cult.ru/" TargetMode="External"/><Relationship Id="rId5" Type="http://schemas.openxmlformats.org/officeDocument/2006/relationships/hyperlink" Target="http://vip.1cul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2</cp:revision>
  <dcterms:created xsi:type="dcterms:W3CDTF">2018-03-12T19:38:00Z</dcterms:created>
  <dcterms:modified xsi:type="dcterms:W3CDTF">2018-03-12T19:38:00Z</dcterms:modified>
</cp:coreProperties>
</file>